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A5" w:rsidRDefault="00431FA5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1FA5" w:rsidRDefault="00431FA5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1FA5" w:rsidRDefault="00C216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MODELLO DI DOMANDA PER LA CONCESSIONE DEL CONTRIBUTO FORFETTARIO AL SOGGETTO GIURIDICO RAPPRESENTANTE LA RETE INNOVATIVA REGIONALE / IL DISTRETTO INDUSTRIALE</w:t>
      </w:r>
    </w:p>
    <w:p w:rsidR="00431FA5" w:rsidRDefault="00431FA5">
      <w:pPr>
        <w:ind w:left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131445</wp:posOffset>
            </wp:positionH>
            <wp:positionV relativeFrom="paragraph">
              <wp:posOffset>130810</wp:posOffset>
            </wp:positionV>
            <wp:extent cx="1353185" cy="1111885"/>
            <wp:effectExtent l="0" t="0" r="0" b="0"/>
            <wp:wrapNone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111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left="424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 Direttore della Direzione Ricerca Innovazione e Competitività Energetica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PEC: </w:t>
      </w:r>
      <w:hyperlink r:id="rId9">
        <w:r>
          <w:rPr>
            <w:rFonts w:ascii="Times New Roman" w:eastAsia="Times New Roman" w:hAnsi="Times New Roman" w:cs="Times New Roman"/>
            <w:color w:val="000000"/>
            <w:sz w:val="22"/>
            <w:szCs w:val="22"/>
            <w:u w:val="single"/>
          </w:rPr>
          <w:t>ricercainnovazionenergia@pec.regione.veneto.it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Domanda di contributo per la concessione del contributo forfettario.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(avvertenza: qualora uno stesso soggetto giuridico rappresenti più distretti industriali o </w:t>
      </w:r>
      <w:r w:rsidR="006B11C0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Reti Innovative Regionali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, deve essere presentata domanda distinta per ciascun </w:t>
      </w:r>
      <w:r w:rsidR="006B11C0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Distretto Industriale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o </w:t>
      </w:r>
      <w:r w:rsidR="006B11C0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Rete Innovativa Regionale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) </w:t>
      </w: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431FA5" w:rsidRDefault="00C2167B">
      <w:pPr>
        <w:spacing w:before="12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sottoscritto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nato a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provincia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il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/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/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31FA5" w:rsidRDefault="00C2167B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 residente in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via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n°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Comune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CAP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Provincia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431FA5" w:rsidRDefault="00C2167B">
      <w:pPr>
        <w:spacing w:before="12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telefono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cellulare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</w:p>
    <w:p w:rsidR="00431FA5" w:rsidRDefault="00C2167B">
      <w:pPr>
        <w:spacing w:before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 qualità di legale rappresentante del soggetto giuridico denominato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</w:t>
      </w:r>
      <w:proofErr w:type="gramStart"/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proofErr w:type="gramEnd"/>
    </w:p>
    <w:p w:rsidR="00431FA5" w:rsidRDefault="00C2167B">
      <w:pPr>
        <w:spacing w:before="1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Codice Fiscale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</w:t>
      </w:r>
      <w:proofErr w:type="gramStart"/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P.IVA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431FA5" w:rsidRDefault="00431FA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riconosciuto dalla Giunta Regionale del Veneto quale soggetto giuridico rappresentante:</w:t>
      </w:r>
    </w:p>
    <w:p w:rsidR="00431FA5" w:rsidRDefault="00431FA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[contrassegnare a lato l’opzione scelta]</w:t>
      </w:r>
    </w:p>
    <w:p w:rsidR="00431FA5" w:rsidRDefault="00431FA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ind w:left="142" w:hanging="14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MS Gothic" w:eastAsia="MS Gothic" w:hAnsi="MS Gothic" w:cs="MS Gothic"/>
          <w:b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la Rete Innovativa Regionale denominata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</w:t>
      </w:r>
      <w:proofErr w:type="gramStart"/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;</w:t>
      </w:r>
      <w:proofErr w:type="gramEnd"/>
    </w:p>
    <w:p w:rsidR="00431FA5" w:rsidRDefault="00431FA5">
      <w:p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ind w:left="284" w:hanging="284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oppure</w:t>
      </w:r>
    </w:p>
    <w:p w:rsidR="00431FA5" w:rsidRDefault="00431FA5">
      <w:pPr>
        <w:ind w:left="284" w:hanging="284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31FA5" w:rsidRDefault="00C2167B">
      <w:pPr>
        <w:ind w:left="142" w:hanging="14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MS Gothic" w:eastAsia="MS Gothic" w:hAnsi="MS Gothic" w:cs="MS Gothic"/>
          <w:b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il Distretto Industriale denominato </w:t>
      </w:r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   </w:t>
      </w:r>
      <w:proofErr w:type="gramStart"/>
      <w:r>
        <w:rPr>
          <w:rFonts w:ascii="Arimo" w:eastAsia="Arimo" w:hAnsi="Arimo" w:cs="Arimo"/>
          <w:b/>
          <w:sz w:val="22"/>
          <w:szCs w:val="22"/>
          <w:highlight w:val="lightGray"/>
          <w:u w:val="single"/>
        </w:rPr>
        <w:t>  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;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431FA5" w:rsidRDefault="00431FA5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431FA5">
      <w:pPr>
        <w:spacing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ai sensi della DGR n. 853 dell’11 luglio 2023 e in relazione ai relativi criteri di assegnazione dei contributi forfettari per l’anno 2023 stabiliti nell’Allegato A alla succitata deliberazione</w:t>
      </w:r>
    </w:p>
    <w:p w:rsidR="00431FA5" w:rsidRDefault="00431FA5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1FA5" w:rsidRDefault="00431FA5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1FA5" w:rsidRDefault="00431FA5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1FA5" w:rsidRDefault="00431FA5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1FA5" w:rsidRDefault="00C2167B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CHIEDE</w:t>
      </w:r>
    </w:p>
    <w:p w:rsidR="00431FA5" w:rsidRDefault="00431FA5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1FA5" w:rsidRDefault="00C2167B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 concessione e l’erogazione dell’ammontare di contributo risultante dalla somma dei punteggi assegnati secondo i criteri stabiliti con Allegato A alla DGR n. 853/2023 e di seguito riportati.</w:t>
      </w:r>
    </w:p>
    <w:p w:rsidR="00431FA5" w:rsidRDefault="00431FA5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431FA5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spacing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 tal fine,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DICHIARA</w:t>
      </w:r>
    </w:p>
    <w:p w:rsidR="00431FA5" w:rsidRDefault="00431FA5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431FA5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431FA5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[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PARTE DA COMPILARE DA PARTE DEL SOGGETTO GIURIDICO RAPPRESENTANTE LA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RETE INNOVATIVA REGIONALE</w:t>
      </w:r>
      <w:r>
        <w:rPr>
          <w:rFonts w:ascii="Times New Roman" w:eastAsia="Times New Roman" w:hAnsi="Times New Roman" w:cs="Times New Roman"/>
          <w:sz w:val="22"/>
          <w:szCs w:val="22"/>
        </w:rPr>
        <w:t>]</w:t>
      </w:r>
    </w:p>
    <w:p w:rsidR="00431FA5" w:rsidRDefault="00431FA5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Partecipazione al percorso di monitoraggio della performance delle RIR e alla presentazione dell’azione del PR FESR Veneto 2021-2027 prevista per il “sostegno alla gestione e al funzionamento delle Reti Innovative Regionali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”.</w:t>
      </w:r>
    </w:p>
    <w:p w:rsidR="00431FA5" w:rsidRDefault="00C2167B">
      <w:pPr>
        <w:spacing w:line="288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[sarà attribuito 1 punto per ogni casella selezionata, barrare le caselle con la quale si intende dichiarare:]</w:t>
      </w:r>
    </w:p>
    <w:p w:rsidR="00431FA5" w:rsidRDefault="00C2167B">
      <w:pPr>
        <w:spacing w:before="120"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MS Gothic" w:eastAsia="MS Gothic" w:hAnsi="MS Gothic" w:cs="MS Gothic"/>
          <w:b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di aver elaborato un documento di commento qualitativo sulla performance della RIR anche in relazione al monitoraggio effettuato in conformità ai con</w:t>
      </w:r>
      <w:r w:rsidR="006966BC">
        <w:rPr>
          <w:rFonts w:ascii="Times New Roman" w:eastAsia="Times New Roman" w:hAnsi="Times New Roman" w:cs="Times New Roman"/>
          <w:sz w:val="22"/>
          <w:szCs w:val="22"/>
        </w:rPr>
        <w:t>tenuti previsti nell’Allegato 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, del Decreto di approvazione dell’avviso.</w:t>
      </w:r>
    </w:p>
    <w:p w:rsidR="00431FA5" w:rsidRDefault="00C2167B">
      <w:pPr>
        <w:spacing w:before="120"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MS Gothic" w:eastAsia="MS Gothic" w:hAnsi="MS Gothic" w:cs="MS Gothic"/>
          <w:b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di aver partecipato</w:t>
      </w:r>
      <w:r w:rsidR="006B11C0">
        <w:rPr>
          <w:rFonts w:ascii="Times New Roman" w:eastAsia="Times New Roman" w:hAnsi="Times New Roman" w:cs="Times New Roman"/>
          <w:sz w:val="22"/>
          <w:szCs w:val="22"/>
        </w:rPr>
        <w:t>, direttamente o tramite proprio delegato,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all’incontro individuale di monitoraggio della performance della RIR rappresentata e/o di aver partecipato all’incontro svoltosi il 26 aprile 2023 per la condivisione strategica dello sviluppo del modello di RIR nel corso della programmazione 2021-2027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431FA5" w:rsidRDefault="00431FA5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“Attività di aggiornamento del database delle adesioni alle Reti Innovative Regionali pubblicato nel portale tematico regionale “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Innoveneto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” in gestione a Veneto Innovazione S.p.A.”</w:t>
      </w:r>
    </w:p>
    <w:p w:rsidR="00431FA5" w:rsidRDefault="00C2167B">
      <w:pPr>
        <w:spacing w:line="288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[sarà attribuito 1 punto per aver completato tale operazione entro il termine stabilito, barrare la casella per dichiarare:]</w:t>
      </w:r>
    </w:p>
    <w:p w:rsidR="00431FA5" w:rsidRDefault="00C2167B">
      <w:pPr>
        <w:spacing w:before="120"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MS Gothic" w:eastAsia="MS Gothic" w:hAnsi="MS Gothic" w:cs="MS Gothic"/>
          <w:b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di aver ultimato nel portale regionale “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Innoveneto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”, entro il 20 luglio 2023, le operazioni di aggiornamento dei dati riferiti agli aderenti alla RIR rappresentata.</w:t>
      </w:r>
    </w:p>
    <w:p w:rsidR="00431FA5" w:rsidRDefault="00431FA5">
      <w:pPr>
        <w:spacing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1FA5" w:rsidRDefault="00431FA5">
      <w:pPr>
        <w:spacing w:line="288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1FA5" w:rsidRDefault="00C2167B">
      <w:pPr>
        <w:spacing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2"/>
          <w:szCs w:val="22"/>
        </w:rPr>
        <w:t>[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PARTE DA COMPILARE DA PARTE DEL SOGGETTO GIURIDICO RAPPRESENTANTE IL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DISTRETTO INDUSTRIALE</w:t>
      </w:r>
      <w:r>
        <w:rPr>
          <w:rFonts w:ascii="Times New Roman" w:eastAsia="Times New Roman" w:hAnsi="Times New Roman" w:cs="Times New Roman"/>
          <w:sz w:val="22"/>
          <w:szCs w:val="22"/>
        </w:rPr>
        <w:t>]</w:t>
      </w:r>
    </w:p>
    <w:p w:rsidR="00431FA5" w:rsidRDefault="00431FA5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A) “Elaborazione o aggiornamento del piano di comunicazione”</w:t>
      </w:r>
    </w:p>
    <w:p w:rsidR="00431FA5" w:rsidRDefault="00C2167B">
      <w:pPr>
        <w:spacing w:before="120" w:line="288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[sarà attribuito 1 punto per aver inviato tale elaborato allegato alla presente domanda, barrare la casella per dichiarare]</w:t>
      </w:r>
    </w:p>
    <w:p w:rsidR="00431FA5" w:rsidRDefault="00C2167B">
      <w:pPr>
        <w:spacing w:before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30j0zll" w:colFirst="0" w:colLast="0"/>
      <w:bookmarkEnd w:id="1"/>
      <w:r>
        <w:rPr>
          <w:rFonts w:ascii="MS Gothic" w:eastAsia="MS Gothic" w:hAnsi="MS Gothic" w:cs="MS Gothic"/>
          <w:b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di aver elaborato o aggiornato, in conformità ai con</w:t>
      </w:r>
      <w:r w:rsidR="008E0967">
        <w:rPr>
          <w:rFonts w:ascii="Times New Roman" w:eastAsia="Times New Roman" w:hAnsi="Times New Roman" w:cs="Times New Roman"/>
          <w:sz w:val="22"/>
          <w:szCs w:val="22"/>
        </w:rPr>
        <w:t>tenuti previsti nell’Allegato F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del Decreto di approvazione dell’avviso, il piano di comunicazione per il periodo 2023-2025, che si allega alla presente domanda;</w:t>
      </w:r>
    </w:p>
    <w:p w:rsidR="00431FA5" w:rsidRDefault="00431FA5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431FA5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431FA5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B)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“Attività di comunicazione/divulgazione”</w:t>
      </w:r>
    </w:p>
    <w:p w:rsidR="00431FA5" w:rsidRDefault="00C2167B">
      <w:pPr>
        <w:spacing w:before="120" w:line="288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[barrare la casella per dichiarare]</w:t>
      </w:r>
    </w:p>
    <w:p w:rsidR="00431FA5" w:rsidRDefault="00C2167B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MS Gothic" w:eastAsia="MS Gothic" w:hAnsi="MS Gothic" w:cs="MS Gothic"/>
          <w:b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di aver realizzato specifiche attività esecutive di comunicazione e divulgazione nel periodo temporale compreso tra la data 1/1/2023 e la data di presentazione della presente domanda di contributo, come di seguito specificate: </w:t>
      </w:r>
    </w:p>
    <w:p w:rsidR="00431FA5" w:rsidRDefault="00431FA5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Invio </w:t>
      </w:r>
      <w:r>
        <w:rPr>
          <w:rFonts w:ascii="Times New Roman" w:eastAsia="Times New Roman" w:hAnsi="Times New Roman" w:cs="Times New Roman"/>
          <w:sz w:val="22"/>
          <w:szCs w:val="22"/>
        </w:rPr>
        <w:t>di newsletter relative al Distretto Industriale: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umero delle newsletter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inviate:</w:t>
      </w:r>
      <w:r>
        <w:rPr>
          <w:b/>
          <w:color w:val="000000"/>
          <w:highlight w:val="lightGray"/>
          <w:u w:val="single"/>
        </w:rPr>
        <w:t>   </w:t>
      </w:r>
      <w:proofErr w:type="gramEnd"/>
      <w:r>
        <w:rPr>
          <w:b/>
          <w:color w:val="000000"/>
          <w:highlight w:val="lightGray"/>
          <w:u w:val="single"/>
        </w:rPr>
        <w:t>  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dati identificativ</w:t>
      </w:r>
      <w:r>
        <w:rPr>
          <w:rFonts w:ascii="Times New Roman" w:eastAsia="Times New Roman" w:hAnsi="Times New Roman" w:cs="Times New Roman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delle newsletter (es. titolo): </w:t>
      </w:r>
      <w:r>
        <w:rPr>
          <w:b/>
          <w:color w:val="000000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date di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invio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b/>
          <w:color w:val="000000"/>
          <w:highlight w:val="lightGray"/>
          <w:u w:val="single"/>
        </w:rPr>
        <w:t>  </w:t>
      </w:r>
      <w:proofErr w:type="gramEnd"/>
      <w:r>
        <w:rPr>
          <w:b/>
          <w:color w:val="000000"/>
          <w:highlight w:val="lightGray"/>
          <w:u w:val="single"/>
        </w:rPr>
        <w:t>  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numero medio di destinatari: </w:t>
      </w:r>
      <w:r>
        <w:rPr>
          <w:b/>
          <w:color w:val="000000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Aggiornamento sito web dedicato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</w:t>
      </w:r>
      <w:r>
        <w:rPr>
          <w:rFonts w:ascii="Times New Roman" w:eastAsia="Times New Roman" w:hAnsi="Times New Roman" w:cs="Times New Roman"/>
          <w:sz w:val="22"/>
          <w:szCs w:val="22"/>
        </w:rPr>
        <w:t>egli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aggiornament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eseguiti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b/>
          <w:color w:val="000000"/>
          <w:highlight w:val="lightGray"/>
          <w:u w:val="single"/>
        </w:rPr>
        <w:t>   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tipologie di aggiornamento svolte (es. aggiornamento contenuti relativi a…)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b/>
          <w:highlight w:val="lightGray"/>
          <w:u w:val="single"/>
        </w:rPr>
        <w:t>  </w:t>
      </w:r>
      <w:r>
        <w:rPr>
          <w:b/>
          <w:highlight w:val="lightGray"/>
          <w:u w:val="single"/>
        </w:rPr>
        <w:t> 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Aggiornamento sezione dedicata al distretto nel portale regionale “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Innoveneto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”;</w:t>
      </w:r>
    </w:p>
    <w:p w:rsidR="00431FA5" w:rsidRDefault="00C2167B">
      <w:pPr>
        <w:ind w:firstLine="11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date degli aggiornamenti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eseguiti:</w:t>
      </w:r>
      <w:r>
        <w:rPr>
          <w:b/>
          <w:highlight w:val="lightGray"/>
          <w:u w:val="single"/>
        </w:rPr>
        <w:t>   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:rsidR="00431FA5" w:rsidRDefault="00C2167B">
      <w:pPr>
        <w:ind w:firstLine="11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tipologie di aggiornamento svolte (es. aggiornamento contenuti relativi a…) </w:t>
      </w:r>
      <w:r>
        <w:rPr>
          <w:b/>
          <w:highlight w:val="lightGray"/>
          <w:u w:val="single"/>
        </w:rPr>
        <w:t>  </w:t>
      </w:r>
      <w:r>
        <w:rPr>
          <w:b/>
          <w:highlight w:val="lightGray"/>
          <w:u w:val="single"/>
        </w:rPr>
        <w:t> 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000000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Gestione di profili social specifici riferiti al </w:t>
      </w:r>
      <w:r w:rsidR="006B11C0">
        <w:rPr>
          <w:rFonts w:ascii="Times New Roman" w:eastAsia="Times New Roman" w:hAnsi="Times New Roman" w:cs="Times New Roman"/>
          <w:color w:val="000000"/>
          <w:sz w:val="22"/>
          <w:szCs w:val="22"/>
        </w:rPr>
        <w:t>Distretto Industriale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”. 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Identificazione degli strumenti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social (es.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Linkedin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ec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c.)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dei relativi indirizzi </w:t>
      </w:r>
      <w:r>
        <w:rPr>
          <w:rFonts w:ascii="Times New Roman" w:eastAsia="Times New Roman" w:hAnsi="Times New Roman" w:cs="Times New Roman"/>
          <w:sz w:val="22"/>
          <w:szCs w:val="22"/>
        </w:rPr>
        <w:t>di</w:t>
      </w:r>
    </w:p>
    <w:p w:rsidR="00431FA5" w:rsidRDefault="00C2167B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pubblicazione della pagina/profilo del </w:t>
      </w:r>
      <w:r w:rsidR="006B11C0">
        <w:rPr>
          <w:rFonts w:ascii="Times New Roman" w:eastAsia="Times New Roman" w:hAnsi="Times New Roman" w:cs="Times New Roman"/>
          <w:sz w:val="22"/>
          <w:szCs w:val="22"/>
        </w:rPr>
        <w:t>Distretto Industriale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b/>
          <w:highlight w:val="lightGray"/>
          <w:u w:val="single"/>
        </w:rPr>
        <w:t>   </w:t>
      </w: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ind w:firstLine="113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1FA5" w:rsidRDefault="00C2167B">
      <w:pPr>
        <w:spacing w:line="288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i/>
          <w:sz w:val="18"/>
          <w:szCs w:val="18"/>
        </w:rPr>
        <w:t>[sarà attribuito 1 punto qualora almeno una delle quattro caselle sopra riportate, che indicano l’avvenuta esecuzione dell’attività di comunicazione/divulgazione, sia stata barrata e puntualmente compilata nei campi previsti]</w:t>
      </w:r>
    </w:p>
    <w:p w:rsidR="00431FA5" w:rsidRDefault="00431FA5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1FA5" w:rsidRDefault="00C2167B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C) “Realizzazione di attività di networking/coinvolgimento delle imprese e stakeholder”</w:t>
      </w:r>
    </w:p>
    <w:p w:rsidR="00431FA5" w:rsidRDefault="00C2167B">
      <w:pPr>
        <w:spacing w:before="120" w:line="288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[barrare la casella per dichiarare]</w:t>
      </w:r>
    </w:p>
    <w:p w:rsidR="00431FA5" w:rsidRDefault="00C216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MS Gothic" w:eastAsia="MS Gothic" w:hAnsi="MS Gothic" w:cs="MS Gothic"/>
          <w:b/>
          <w:color w:val="000000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aver partecipato, nel periodo compreso tra il giorno 1° gennaio 2023 e la data di presentazione della presente domanda, a convegni, seminari, workshop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organizzati dal soggetto giuridico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rappresentante il </w:t>
      </w:r>
      <w:r w:rsidR="006B11C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Distretto Industriale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cui sia stato riservato spazio di discussione riguardo al </w:t>
      </w:r>
      <w:r w:rsidR="006B11C0">
        <w:rPr>
          <w:rFonts w:ascii="Times New Roman" w:eastAsia="Times New Roman" w:hAnsi="Times New Roman" w:cs="Times New Roman"/>
          <w:color w:val="000000"/>
          <w:sz w:val="22"/>
          <w:szCs w:val="22"/>
        </w:rPr>
        <w:t>Distretto Industriale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rappresentato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31FA5" w:rsidRDefault="00431FA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MS Gothic" w:eastAsia="MS Gothic" w:hAnsi="MS Gothic" w:cs="MS Gothic"/>
          <w:b/>
          <w:color w:val="000000"/>
          <w:sz w:val="22"/>
          <w:szCs w:val="22"/>
        </w:rPr>
        <w:t>☐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aver partecipato, nel periodo compreso tra il giorno 1° gennaio 2023 e la data di presentazione della presente domanda, a convegni, seminari, workshop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organizzati da un soggetto diverso dal soggetto giuridico rappresentante il </w:t>
      </w:r>
      <w:r w:rsidR="006B11C0">
        <w:rPr>
          <w:rFonts w:ascii="Times New Roman" w:eastAsia="Times New Roman" w:hAnsi="Times New Roman" w:cs="Times New Roman"/>
          <w:b/>
          <w:sz w:val="22"/>
          <w:szCs w:val="22"/>
        </w:rPr>
        <w:t>Distretto Industriale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ma in cui sia stato comunque riservato spazio di discussione riguardo al </w:t>
      </w:r>
      <w:r w:rsidR="006B11C0">
        <w:rPr>
          <w:rFonts w:ascii="Times New Roman" w:eastAsia="Times New Roman" w:hAnsi="Times New Roman" w:cs="Times New Roman"/>
          <w:sz w:val="22"/>
          <w:szCs w:val="22"/>
        </w:rPr>
        <w:t>Distretto Industriale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rappresentato.</w:t>
      </w:r>
    </w:p>
    <w:p w:rsidR="00431FA5" w:rsidRDefault="00431FA5">
      <w:pPr>
        <w:rPr>
          <w:rFonts w:ascii="Times New Roman" w:eastAsia="Times New Roman" w:hAnsi="Times New Roman" w:cs="Times New Roman"/>
        </w:rPr>
      </w:pPr>
    </w:p>
    <w:p w:rsidR="00431FA5" w:rsidRDefault="00C2167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Riportare i dati identificativi della partecipazione (titolo, data e luogo di svolgimento, oggetto e argomenti trattati, numero dei partecipanti).</w:t>
      </w:r>
    </w:p>
    <w:tbl>
      <w:tblPr>
        <w:tblStyle w:val="aff3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431FA5">
        <w:trPr>
          <w:trHeight w:val="1643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1FA5" w:rsidRDefault="00431FA5">
            <w:pPr>
              <w:rPr>
                <w:rFonts w:ascii="Times New Roman" w:eastAsia="Times New Roman" w:hAnsi="Times New Roman" w:cs="Times New Roman"/>
              </w:rPr>
            </w:pPr>
          </w:p>
          <w:p w:rsidR="00431FA5" w:rsidRDefault="00C216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lightGray"/>
              </w:rPr>
              <w:t>     </w:t>
            </w:r>
          </w:p>
          <w:p w:rsidR="00431FA5" w:rsidRDefault="00431F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1FA5" w:rsidRDefault="00C2167B">
      <w:pPr>
        <w:spacing w:line="288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[sarà attribuito 1 punto qualora almeno una delle due caselle sopra riportate, che indicano l’avvenuta esecuzione dell’attività di networking/coinvolgimento delle imprese, sia stata barrata e sia stata adeguatamente identificato l’evento in cui sia stato riservato spazio di discussione riguardo al </w:t>
      </w:r>
      <w:r w:rsidR="006B11C0">
        <w:rPr>
          <w:rFonts w:ascii="Times New Roman" w:eastAsia="Times New Roman" w:hAnsi="Times New Roman" w:cs="Times New Roman"/>
          <w:i/>
          <w:sz w:val="18"/>
          <w:szCs w:val="18"/>
        </w:rPr>
        <w:t>Distretto Industriale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rappresentato]</w:t>
      </w:r>
    </w:p>
    <w:p w:rsidR="00431FA5" w:rsidRDefault="00C2167B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DICHIARA, inoltre,</w:t>
      </w:r>
    </w:p>
    <w:p w:rsidR="00431FA5" w:rsidRDefault="00C2167B">
      <w:pPr>
        <w:spacing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ai sensi del D.P.R. 28 dicembre 2000, n. 445, articoli 46 e 47:</w:t>
      </w:r>
    </w:p>
    <w:p w:rsidR="00431FA5" w:rsidRDefault="00431FA5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che i dati e le informazioni contenuti nella presente istanza corrispondono al vero e di essere perciò consapevole delle responsabilità penali, derivanti dal rilascio di dichiarazioni mendaci, di formazione o uso di atti falsi, e della conseguente decadenza dai benefici concessi sulla base di una dichiarazione non veritiera, richiamate dagli articoli 75 e 76 del DPR n. 445/2000;</w:t>
      </w:r>
    </w:p>
    <w:p w:rsidR="00431FA5" w:rsidRDefault="00431FA5">
      <w:pPr>
        <w:ind w:left="14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 consapevole che il responsabile del procedimento può esperire accertamenti tecnici ed ispezioni ed ordinare esibizioni documentali, anche successivamente all’avvenuta erogazione del contributo;</w:t>
      </w:r>
    </w:p>
    <w:p w:rsidR="00431FA5" w:rsidRDefault="00431FA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 conformità alle norme di cui alla legge regionale 11 maggio 2018, n. 16, di non essere stato condannato alla sanzione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interdittiva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300”, e non essere soggetto destinatario di misure di prevenzione personale applicate dall'autorità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 </w:t>
      </w:r>
    </w:p>
    <w:p w:rsidR="00431FA5" w:rsidRDefault="00431FA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 consapevole che il contributo forfettario, richiesto con la presente istanza, potrà essere concesso ad esperita istruttoria amministrativa, volta a verificare le condizioni di ammissibilità, i requisiti di legittimazione ed i presupposti necessari per la concessione e l’erogazione del beneficio economico;</w:t>
      </w: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1FA5" w:rsidRDefault="00C2167B">
      <w:pPr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 essere consapevole</w:t>
      </w:r>
      <w: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che il contributo forfettario richiesto con la presente istanza, viene concesso ai sensi del Regolamento UE n. 1407/2013 – aiuti “de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minimis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”;</w:t>
      </w: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1FA5" w:rsidRDefault="00C2167B">
      <w:pPr>
        <w:spacing w:line="288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AUTORIZZA</w:t>
      </w:r>
    </w:p>
    <w:p w:rsidR="00431FA5" w:rsidRDefault="00431FA5">
      <w:pPr>
        <w:ind w:left="14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ind w:left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la Regione del Veneto al trattamento dei dati personali ai sensi dell’articolo 13 del Regolamento 2016/679/UE - General Data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Regulation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(GDPR) sulla base dell’informativa riportata al punto 6 dell’Allegato A e del Decreto Legislativo 30 giugno 2003, n. 196, come modificato dal Decreto Legislativo 10 agosto 2018, n. 101;</w:t>
      </w:r>
    </w:p>
    <w:p w:rsidR="00431FA5" w:rsidRDefault="00431FA5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1FA5" w:rsidRDefault="00C2167B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ALLEGA </w:t>
      </w:r>
    </w:p>
    <w:p w:rsidR="00431FA5" w:rsidRDefault="00C2167B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alla presente domanda la seguente documentazione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:rsidR="00431FA5" w:rsidRDefault="00431FA5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431FA5" w:rsidRDefault="00C2167B">
      <w:pPr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dichiarazione ai sensi del Regolamento UE n. 1407/2013 –</w:t>
      </w:r>
      <w:r w:rsidR="008E0967">
        <w:rPr>
          <w:rFonts w:ascii="Times New Roman" w:eastAsia="Times New Roman" w:hAnsi="Times New Roman" w:cs="Times New Roman"/>
          <w:sz w:val="22"/>
          <w:szCs w:val="22"/>
        </w:rPr>
        <w:t xml:space="preserve"> aiuti “de </w:t>
      </w:r>
      <w:proofErr w:type="spellStart"/>
      <w:r w:rsidR="008E0967">
        <w:rPr>
          <w:rFonts w:ascii="Times New Roman" w:eastAsia="Times New Roman" w:hAnsi="Times New Roman" w:cs="Times New Roman"/>
          <w:sz w:val="22"/>
          <w:szCs w:val="22"/>
        </w:rPr>
        <w:t>minimis</w:t>
      </w:r>
      <w:proofErr w:type="spellEnd"/>
      <w:r w:rsidR="008E0967">
        <w:rPr>
          <w:rFonts w:ascii="Times New Roman" w:eastAsia="Times New Roman" w:hAnsi="Times New Roman" w:cs="Times New Roman"/>
          <w:sz w:val="22"/>
          <w:szCs w:val="22"/>
        </w:rPr>
        <w:t>” (Allegato C</w:t>
      </w:r>
      <w:r>
        <w:rPr>
          <w:rFonts w:ascii="Times New Roman" w:eastAsia="Times New Roman" w:hAnsi="Times New Roman" w:cs="Times New Roman"/>
          <w:sz w:val="22"/>
          <w:szCs w:val="22"/>
        </w:rPr>
        <w:t>)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obbligatorio</w:t>
      </w:r>
      <w:r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431FA5" w:rsidRDefault="00431FA5">
      <w:pPr>
        <w:ind w:left="14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dichiarazione ai sensi della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l.r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11</w:t>
      </w:r>
      <w:r w:rsidR="008E0967">
        <w:rPr>
          <w:rFonts w:ascii="Times New Roman" w:eastAsia="Times New Roman" w:hAnsi="Times New Roman" w:cs="Times New Roman"/>
          <w:sz w:val="22"/>
          <w:szCs w:val="22"/>
        </w:rPr>
        <w:t xml:space="preserve"> maggio 2018, n. 16 (Allegato D</w:t>
      </w:r>
      <w:r>
        <w:rPr>
          <w:rFonts w:ascii="Times New Roman" w:eastAsia="Times New Roman" w:hAnsi="Times New Roman" w:cs="Times New Roman"/>
          <w:sz w:val="22"/>
          <w:szCs w:val="22"/>
        </w:rPr>
        <w:t>)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obbligatorio</w:t>
      </w:r>
      <w:r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431FA5" w:rsidRDefault="00431FA5">
      <w:pPr>
        <w:ind w:left="14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31FA5" w:rsidRDefault="00C2167B">
      <w:pPr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elaborato relativo a commenti di tipo qualitativo sulla performance della RIR anche in relazione al monitoraggio effettuato dalla Regione del Veneto, contenente gli el</w:t>
      </w:r>
      <w:r w:rsidR="008E0967">
        <w:rPr>
          <w:rFonts w:ascii="Times New Roman" w:eastAsia="Times New Roman" w:hAnsi="Times New Roman" w:cs="Times New Roman"/>
          <w:sz w:val="22"/>
          <w:szCs w:val="22"/>
        </w:rPr>
        <w:t>ementi indicati nell’Allegato 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per le sole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Reti Innovative Regionali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); </w:t>
      </w: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1FA5" w:rsidRDefault="00C2167B">
      <w:pPr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predisposizione o aggiornamento del piano di comunicazione per il periodo 2023-2025 contenente gli el</w:t>
      </w:r>
      <w:r w:rsidR="008E0967">
        <w:rPr>
          <w:rFonts w:ascii="Times New Roman" w:eastAsia="Times New Roman" w:hAnsi="Times New Roman" w:cs="Times New Roman"/>
          <w:sz w:val="22"/>
          <w:szCs w:val="22"/>
        </w:rPr>
        <w:t>ementi indicati nell’Allegato F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(per i soli Distretti Industriali)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1FA5" w:rsidRDefault="00C2167B">
      <w:pPr>
        <w:numPr>
          <w:ilvl w:val="0"/>
          <w:numId w:val="13"/>
        </w:numPr>
        <w:ind w:left="142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copia fotostatica del documento di identità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sz w:val="22"/>
          <w:szCs w:val="22"/>
          <w:highlight w:val="lightGray"/>
          <w:u w:val="single"/>
        </w:rPr>
        <w:t>  </w:t>
      </w:r>
      <w:proofErr w:type="gramEnd"/>
      <w:r>
        <w:rPr>
          <w:rFonts w:ascii="Times New Roman" w:eastAsia="Times New Roman" w:hAnsi="Times New Roman" w:cs="Times New Roman"/>
          <w:sz w:val="22"/>
          <w:szCs w:val="22"/>
          <w:highlight w:val="lightGray"/>
          <w:u w:val="single"/>
        </w:rPr>
        <w:t>   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n. </w:t>
      </w:r>
      <w:r>
        <w:rPr>
          <w:rFonts w:ascii="Times New Roman" w:eastAsia="Times New Roman" w:hAnsi="Times New Roman" w:cs="Times New Roman"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rilasciato il </w:t>
      </w:r>
      <w:r>
        <w:rPr>
          <w:rFonts w:ascii="Times New Roman" w:eastAsia="Times New Roman" w:hAnsi="Times New Roman" w:cs="Times New Roman"/>
          <w:sz w:val="22"/>
          <w:szCs w:val="22"/>
          <w:highlight w:val="lightGray"/>
          <w:u w:val="single"/>
        </w:rPr>
        <w:t>   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highlight w:val="lightGray"/>
          <w:u w:val="single"/>
        </w:rPr>
        <w:t>  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ai sensi dell’articolo 38 del DPR n. 445/2000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non necessario qualora la dichiarazione venga sottoscritta con firma digitale valida</w:t>
      </w:r>
      <w:r>
        <w:rPr>
          <w:rFonts w:ascii="Times New Roman" w:eastAsia="Times New Roman" w:hAnsi="Times New Roman" w:cs="Times New Roman"/>
          <w:sz w:val="22"/>
          <w:szCs w:val="22"/>
        </w:rPr>
        <w:t>);</w:t>
      </w: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1FA5" w:rsidRDefault="00431FA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1FA5" w:rsidRDefault="00431FA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431FA5" w:rsidRDefault="00C2167B">
      <w:pPr>
        <w:spacing w:before="120" w:after="120" w:line="288" w:lineRule="auto"/>
        <w:ind w:right="-26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Luogo/Data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/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lightGray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31FA5" w:rsidRDefault="00C2167B">
      <w:pPr>
        <w:ind w:left="495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Firma olografa o digitale del legale rappresentante del soggetto giuridico richiedente</w:t>
      </w:r>
    </w:p>
    <w:p w:rsidR="00431FA5" w:rsidRDefault="00431FA5"/>
    <w:p w:rsidR="00431FA5" w:rsidRDefault="00431FA5">
      <w:pPr>
        <w:spacing w:line="288" w:lineRule="auto"/>
        <w:jc w:val="center"/>
      </w:pPr>
    </w:p>
    <w:sectPr w:rsidR="00431FA5">
      <w:headerReference w:type="default" r:id="rId10"/>
      <w:footerReference w:type="default" r:id="rId11"/>
      <w:headerReference w:type="first" r:id="rId12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85" w:rsidRDefault="00636285">
      <w:r>
        <w:separator/>
      </w:r>
    </w:p>
  </w:endnote>
  <w:endnote w:type="continuationSeparator" w:id="0">
    <w:p w:rsidR="00636285" w:rsidRDefault="0063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AB" w:rsidRDefault="00E344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85" w:rsidRDefault="00636285">
      <w:r>
        <w:separator/>
      </w:r>
    </w:p>
  </w:footnote>
  <w:footnote w:type="continuationSeparator" w:id="0">
    <w:p w:rsidR="00636285" w:rsidRDefault="00636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AB" w:rsidRDefault="00E344A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ff5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E344AB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E344AB" w:rsidRDefault="00F02FB9" w:rsidP="008E096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Allegato B</w:t>
          </w:r>
          <w:r w:rsidR="00E344A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         </w:t>
          </w:r>
          <w:r w:rsidR="008E0967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69</w:t>
          </w:r>
          <w:r w:rsidR="00E344A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del          </w:t>
          </w:r>
          <w:r w:rsidR="008E0967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23-08-2023</w:t>
          </w:r>
          <w:r w:rsidR="00E344A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6966BC">
            <w:rPr>
              <w:rFonts w:ascii="Times New Roman" w:eastAsia="Times New Roman" w:hAnsi="Times New Roman" w:cs="Times New Roman"/>
              <w:noProof/>
              <w:color w:val="000000"/>
            </w:rPr>
            <w:t>4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t>/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6966BC">
            <w:rPr>
              <w:rFonts w:ascii="Times New Roman" w:eastAsia="Times New Roman" w:hAnsi="Times New Roman" w:cs="Times New Roman"/>
              <w:noProof/>
              <w:color w:val="000000"/>
            </w:rPr>
            <w:t>5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E344AB" w:rsidRDefault="00E344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AB" w:rsidRDefault="00E344A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8"/>
        <w:szCs w:val="18"/>
      </w:rPr>
    </w:pPr>
  </w:p>
  <w:tbl>
    <w:tblPr>
      <w:tblStyle w:val="afff4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9638"/>
    </w:tblGrid>
    <w:tr w:rsidR="00E344AB">
      <w:trPr>
        <w:trHeight w:val="1283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</w:tcPr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>
                <wp:extent cx="2294890" cy="285115"/>
                <wp:effectExtent l="0" t="0" r="0" b="0"/>
                <wp:docPr id="1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890" cy="2851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Giunta Regionale</w:t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</w:p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E344AB" w:rsidRDefault="00F02F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Allegato B</w:t>
          </w:r>
          <w:r w:rsidR="00E344AB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al Decreto n.       </w:t>
          </w:r>
          <w:r w:rsidR="008E0967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69</w:t>
          </w:r>
          <w:r w:rsidR="00E344AB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    del </w:t>
          </w:r>
          <w:r w:rsidR="008E0967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>23-08-2023</w:t>
          </w:r>
          <w:r w:rsidR="00E344AB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8E0967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</w:rPr>
            <w:t xml:space="preserve">                      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6966BC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 w:rsidR="00E344AB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="008E0967">
            <w:rPr>
              <w:rFonts w:ascii="Times New Roman" w:eastAsia="Times New Roman" w:hAnsi="Times New Roman" w:cs="Times New Roman"/>
              <w:color w:val="000000"/>
            </w:rPr>
            <w:t>/5</w:t>
          </w:r>
        </w:p>
        <w:p w:rsidR="00E344AB" w:rsidRDefault="00E34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</w:tr>
  </w:tbl>
  <w:p w:rsidR="00E344AB" w:rsidRDefault="00E344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0FE1"/>
    <w:multiLevelType w:val="multilevel"/>
    <w:tmpl w:val="A4306B3E"/>
    <w:lvl w:ilvl="0">
      <w:start w:val="1"/>
      <w:numFmt w:val="upperLetter"/>
      <w:lvlText w:val="%1.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9423B1"/>
    <w:multiLevelType w:val="multilevel"/>
    <w:tmpl w:val="E42E6350"/>
    <w:lvl w:ilvl="0">
      <w:start w:val="1"/>
      <w:numFmt w:val="upperLetter"/>
      <w:lvlText w:val="%1.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425759"/>
    <w:multiLevelType w:val="multilevel"/>
    <w:tmpl w:val="8C4E0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13B019A"/>
    <w:multiLevelType w:val="multilevel"/>
    <w:tmpl w:val="2FD2EA78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40050CB"/>
    <w:multiLevelType w:val="multilevel"/>
    <w:tmpl w:val="88BC23C6"/>
    <w:lvl w:ilvl="0">
      <w:start w:val="2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2715C3"/>
    <w:multiLevelType w:val="multilevel"/>
    <w:tmpl w:val="1C8A6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002A1"/>
    <w:multiLevelType w:val="multilevel"/>
    <w:tmpl w:val="F76CAA04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F5324B"/>
    <w:multiLevelType w:val="multilevel"/>
    <w:tmpl w:val="28AA4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2D34FD5"/>
    <w:multiLevelType w:val="multilevel"/>
    <w:tmpl w:val="A43AB38E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numFmt w:val="bullet"/>
      <w:lvlText w:val="•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137F16"/>
    <w:multiLevelType w:val="multilevel"/>
    <w:tmpl w:val="7F2E9C38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73E555A"/>
    <w:multiLevelType w:val="multilevel"/>
    <w:tmpl w:val="60622E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731676"/>
    <w:multiLevelType w:val="multilevel"/>
    <w:tmpl w:val="C01ECC12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04E4B74"/>
    <w:multiLevelType w:val="multilevel"/>
    <w:tmpl w:val="E3FE435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336749"/>
    <w:multiLevelType w:val="multilevel"/>
    <w:tmpl w:val="2CAAE540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82777A7"/>
    <w:multiLevelType w:val="multilevel"/>
    <w:tmpl w:val="28A233F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DA195B"/>
    <w:multiLevelType w:val="multilevel"/>
    <w:tmpl w:val="E540583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E877F0C"/>
    <w:multiLevelType w:val="multilevel"/>
    <w:tmpl w:val="980C7628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EE033B"/>
    <w:multiLevelType w:val="multilevel"/>
    <w:tmpl w:val="2940E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17"/>
  </w:num>
  <w:num w:numId="11">
    <w:abstractNumId w:val="0"/>
  </w:num>
  <w:num w:numId="12">
    <w:abstractNumId w:val="13"/>
  </w:num>
  <w:num w:numId="13">
    <w:abstractNumId w:val="10"/>
  </w:num>
  <w:num w:numId="14">
    <w:abstractNumId w:val="16"/>
  </w:num>
  <w:num w:numId="15">
    <w:abstractNumId w:val="6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A5"/>
    <w:rsid w:val="00266BD9"/>
    <w:rsid w:val="00431FA5"/>
    <w:rsid w:val="0056521C"/>
    <w:rsid w:val="00636285"/>
    <w:rsid w:val="006966BC"/>
    <w:rsid w:val="006B11C0"/>
    <w:rsid w:val="00833BCE"/>
    <w:rsid w:val="008A293B"/>
    <w:rsid w:val="008E0967"/>
    <w:rsid w:val="00901489"/>
    <w:rsid w:val="00B54239"/>
    <w:rsid w:val="00C2167B"/>
    <w:rsid w:val="00E344AB"/>
    <w:rsid w:val="00F0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1088"/>
  <w15:docId w15:val="{EDE5A1B8-977D-4067-B506-68B2819A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5F296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rsid w:val="00FE67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1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01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08153C"/>
    <w:pPr>
      <w:ind w:left="708"/>
    </w:pPr>
  </w:style>
  <w:style w:type="character" w:customStyle="1" w:styleId="TitoloCarattere">
    <w:name w:val="Titolo Carattere"/>
    <w:link w:val="Titolo"/>
    <w:rsid w:val="005F296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Riferimentodelicato">
    <w:name w:val="Subtle Reference"/>
    <w:uiPriority w:val="31"/>
    <w:qFormat/>
    <w:rsid w:val="005F296B"/>
    <w:rPr>
      <w:smallCaps/>
      <w:color w:val="C0504D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296B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F296B"/>
    <w:rPr>
      <w:rFonts w:ascii="Calibri" w:eastAsia="Calibri" w:hAnsi="Calibri" w:cs="Calibri"/>
      <w:lang w:eastAsia="en-US"/>
    </w:rPr>
  </w:style>
  <w:style w:type="character" w:styleId="Rimandonotaapidipagina">
    <w:name w:val="footnote reference"/>
    <w:uiPriority w:val="99"/>
    <w:semiHidden/>
    <w:unhideWhenUsed/>
    <w:rsid w:val="005F296B"/>
    <w:rPr>
      <w:vertAlign w:val="superscript"/>
    </w:rPr>
  </w:style>
  <w:style w:type="character" w:styleId="Enfasicorsivo">
    <w:name w:val="Emphasis"/>
    <w:uiPriority w:val="99"/>
    <w:qFormat/>
    <w:rsid w:val="005F296B"/>
    <w:rPr>
      <w:rFonts w:ascii="Times New Roman" w:hAnsi="Times New Roman" w:cs="Times New Roman" w:hint="default"/>
      <w:i/>
      <w:iCs w:val="0"/>
    </w:rPr>
  </w:style>
  <w:style w:type="paragraph" w:customStyle="1" w:styleId="Contenutotabella">
    <w:name w:val="Contenuto tabella"/>
    <w:basedOn w:val="Normale"/>
    <w:uiPriority w:val="99"/>
    <w:qFormat/>
    <w:rsid w:val="005F296B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F296B"/>
    <w:pPr>
      <w:suppressAutoHyphens/>
      <w:ind w:left="708"/>
    </w:pPr>
    <w:rPr>
      <w:rFonts w:ascii="Times New Roman" w:hAnsi="Times New Roman" w:cs="Times New Roman"/>
      <w:lang w:eastAsia="zh-CN"/>
    </w:rPr>
  </w:style>
  <w:style w:type="paragraph" w:customStyle="1" w:styleId="Corpotesto1">
    <w:name w:val="Corpo testo1"/>
    <w:uiPriority w:val="99"/>
    <w:rsid w:val="005F296B"/>
    <w:pPr>
      <w:widowControl w:val="0"/>
      <w:snapToGrid w:val="0"/>
    </w:pPr>
    <w:rPr>
      <w:color w:val="000000"/>
      <w:sz w:val="28"/>
    </w:rPr>
  </w:style>
  <w:style w:type="table" w:styleId="Grigliatabella">
    <w:name w:val="Table Grid"/>
    <w:basedOn w:val="Tabellanormale"/>
    <w:uiPriority w:val="59"/>
    <w:rsid w:val="00F73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5006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E265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ercainnovazionenergia@pec.regione.veneto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NPwzdgxqjDkfqEBfvq+b9z1tLA==">CgMxLjAyCWguMWZvYjl0ZTIJaC4zMGowemxsMghoLmdqZGd4czgAciExVGZfWG5pWFBtaHhTcU8ta25qZ2NnVmxTSUw3TS04RzU=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FIORENZO CAZZATO</cp:lastModifiedBy>
  <cp:revision>5</cp:revision>
  <dcterms:created xsi:type="dcterms:W3CDTF">2023-08-23T13:46:00Z</dcterms:created>
  <dcterms:modified xsi:type="dcterms:W3CDTF">2023-08-28T10:53:00Z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